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4" w:rsidRPr="009B05E2" w:rsidRDefault="00544574" w:rsidP="00544574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D7D4345" wp14:editId="598A8701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544574" w:rsidRPr="009B05E2" w:rsidRDefault="00544574" w:rsidP="005445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                                 Информирует</w:t>
      </w:r>
    </w:p>
    <w:p w:rsidR="00544574" w:rsidRDefault="00544574" w:rsidP="00544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574" w:rsidRPr="00544574" w:rsidRDefault="00544574" w:rsidP="005445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574">
        <w:rPr>
          <w:rFonts w:ascii="Times New Roman" w:hAnsi="Times New Roman" w:cs="Times New Roman"/>
          <w:b/>
          <w:sz w:val="26"/>
          <w:szCs w:val="26"/>
        </w:rPr>
        <w:t>Оплата детского сада материнским капиталом</w:t>
      </w:r>
    </w:p>
    <w:p w:rsidR="00544574" w:rsidRPr="00544574" w:rsidRDefault="00544574" w:rsidP="00544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4457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4457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44574">
        <w:rPr>
          <w:rFonts w:ascii="Times New Roman" w:hAnsi="Times New Roman" w:cs="Times New Roman"/>
          <w:sz w:val="26"/>
          <w:szCs w:val="26"/>
        </w:rPr>
        <w:t>от 29.12.2006 № 256-ФЗ «О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574">
        <w:rPr>
          <w:rFonts w:ascii="Times New Roman" w:hAnsi="Times New Roman" w:cs="Times New Roman"/>
          <w:sz w:val="26"/>
          <w:szCs w:val="26"/>
        </w:rPr>
        <w:t>граждане, получившие государственный сертификат на материнский (семейный) капитал могут распоряжаться его средствами по таким направлениям, как улучшение жилищных условий; формирование накопительной пенсии для женщин; приобретение товаров и услуг, предназначенных для социальной адаптации и интеграции в общество детей-инвалидов в соответствии с индивидуальной программой реабилитации;</w:t>
      </w:r>
      <w:proofErr w:type="gramEnd"/>
      <w:r w:rsidRPr="00544574">
        <w:rPr>
          <w:rFonts w:ascii="Times New Roman" w:hAnsi="Times New Roman" w:cs="Times New Roman"/>
          <w:sz w:val="26"/>
          <w:szCs w:val="26"/>
        </w:rPr>
        <w:t xml:space="preserve"> получение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ребенком (детьми).</w:t>
      </w:r>
    </w:p>
    <w:p w:rsidR="00544574" w:rsidRPr="00544574" w:rsidRDefault="00544574" w:rsidP="00544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574">
        <w:rPr>
          <w:rFonts w:ascii="Times New Roman" w:hAnsi="Times New Roman" w:cs="Times New Roman"/>
          <w:sz w:val="26"/>
          <w:szCs w:val="26"/>
        </w:rPr>
        <w:t xml:space="preserve">Последнее направление дает право обладателям сертификата на материнский (семейный) капитал использовать его средства на оплату содержания ребенка в детском саду. </w:t>
      </w:r>
      <w:r w:rsidRPr="0099464B">
        <w:rPr>
          <w:rFonts w:ascii="Times New Roman" w:hAnsi="Times New Roman" w:cs="Times New Roman"/>
          <w:sz w:val="26"/>
          <w:szCs w:val="26"/>
        </w:rPr>
        <w:t xml:space="preserve">В </w:t>
      </w:r>
      <w:r w:rsidR="0099464B" w:rsidRPr="0099464B">
        <w:rPr>
          <w:rFonts w:ascii="Times New Roman" w:hAnsi="Times New Roman" w:cs="Times New Roman"/>
          <w:sz w:val="26"/>
          <w:szCs w:val="26"/>
        </w:rPr>
        <w:t xml:space="preserve">Управлении </w:t>
      </w:r>
      <w:bookmarkStart w:id="0" w:name="_GoBack"/>
      <w:bookmarkEnd w:id="0"/>
      <w:r w:rsidR="0099464B" w:rsidRPr="0099464B">
        <w:rPr>
          <w:rFonts w:ascii="Times New Roman" w:hAnsi="Times New Roman" w:cs="Times New Roman"/>
          <w:sz w:val="26"/>
          <w:szCs w:val="26"/>
        </w:rPr>
        <w:t>83</w:t>
      </w:r>
      <w:r w:rsidRPr="0099464B">
        <w:rPr>
          <w:rFonts w:ascii="Times New Roman" w:hAnsi="Times New Roman" w:cs="Times New Roman"/>
          <w:sz w:val="26"/>
          <w:szCs w:val="26"/>
        </w:rPr>
        <w:t xml:space="preserve"> обладател</w:t>
      </w:r>
      <w:r w:rsidR="0099464B" w:rsidRPr="0099464B">
        <w:rPr>
          <w:rFonts w:ascii="Times New Roman" w:hAnsi="Times New Roman" w:cs="Times New Roman"/>
          <w:sz w:val="26"/>
          <w:szCs w:val="26"/>
        </w:rPr>
        <w:t>я</w:t>
      </w:r>
      <w:r w:rsidRPr="0099464B">
        <w:rPr>
          <w:rFonts w:ascii="Times New Roman" w:hAnsi="Times New Roman" w:cs="Times New Roman"/>
          <w:sz w:val="26"/>
          <w:szCs w:val="26"/>
        </w:rPr>
        <w:t xml:space="preserve"> сертификатов решили направить средства на содержание детей в дошкольных учреждениях на общую сумму 1,4 млн. рублей.</w:t>
      </w:r>
    </w:p>
    <w:p w:rsidR="00544574" w:rsidRPr="00544574" w:rsidRDefault="00544574" w:rsidP="00544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574">
        <w:rPr>
          <w:rFonts w:ascii="Times New Roman" w:hAnsi="Times New Roman" w:cs="Times New Roman"/>
          <w:sz w:val="26"/>
          <w:szCs w:val="26"/>
        </w:rPr>
        <w:t>Использовать средства материнского капитала в качестве оплаты за содержание ребенка или нескольких детей в дошкольном учреждении, можно, если ребенку, с рождением которого возникло право на материнский капитал, исполнилось три года. В территориальный орган ПФР нужно представить договор с дошкольным учреждением, включающий в себя его обязательства по содержанию ребенка, и расчет размера платы. Договор может быть заключен по согласованию сторон на год или квартал.  Средства материнского капитала будут перечислены по указанным в договоре реквизитам не позднее двух месяцев со дня подачи заявления.</w:t>
      </w:r>
    </w:p>
    <w:p w:rsidR="00544574" w:rsidRPr="00544574" w:rsidRDefault="00544574" w:rsidP="00544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574">
        <w:rPr>
          <w:rFonts w:ascii="Times New Roman" w:hAnsi="Times New Roman" w:cs="Times New Roman"/>
          <w:sz w:val="26"/>
          <w:szCs w:val="26"/>
        </w:rPr>
        <w:t xml:space="preserve">Если ребенок временно не посещал детский сад, например, по причине болезни, дошкольное учреждение без расторжения договора </w:t>
      </w:r>
      <w:r w:rsidR="009B1F7B">
        <w:rPr>
          <w:rFonts w:ascii="Times New Roman" w:hAnsi="Times New Roman" w:cs="Times New Roman"/>
          <w:sz w:val="26"/>
          <w:szCs w:val="26"/>
        </w:rPr>
        <w:t>производит</w:t>
      </w:r>
      <w:r w:rsidRPr="00544574">
        <w:rPr>
          <w:rFonts w:ascii="Times New Roman" w:hAnsi="Times New Roman" w:cs="Times New Roman"/>
          <w:sz w:val="26"/>
          <w:szCs w:val="26"/>
        </w:rPr>
        <w:t xml:space="preserve"> пересчет. Оставшаяся сумма перечисленных, но неиспользованных средств, по разным причинам (прекращение посещения детсада, расторжение договора) подлежит возврату в территориальный орган Пенсионного фонда. </w:t>
      </w:r>
    </w:p>
    <w:p w:rsidR="00544574" w:rsidRPr="00544574" w:rsidRDefault="00544574" w:rsidP="00544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574">
        <w:rPr>
          <w:rFonts w:ascii="Times New Roman" w:hAnsi="Times New Roman" w:cs="Times New Roman"/>
          <w:sz w:val="26"/>
          <w:szCs w:val="26"/>
        </w:rPr>
        <w:t>Размер материнского (семейного) капитала составляет 453026 рублей.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44574" w:rsidRPr="009B05E2" w:rsidTr="00DC050A">
        <w:tc>
          <w:tcPr>
            <w:tcW w:w="4359" w:type="dxa"/>
          </w:tcPr>
          <w:p w:rsidR="00544574" w:rsidRDefault="00544574" w:rsidP="00544574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9B0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4574" w:rsidRPr="009B05E2" w:rsidRDefault="00544574" w:rsidP="00544574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-  УПФР в г. Вышнем Волочке</w:t>
            </w:r>
          </w:p>
        </w:tc>
      </w:tr>
      <w:tr w:rsidR="00544574" w:rsidRPr="009B05E2" w:rsidTr="00DC050A">
        <w:tc>
          <w:tcPr>
            <w:tcW w:w="4359" w:type="dxa"/>
          </w:tcPr>
          <w:p w:rsidR="00544574" w:rsidRPr="009B05E2" w:rsidRDefault="00544574" w:rsidP="005445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5E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9B05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544574" w:rsidRPr="009B05E2" w:rsidTr="00DC050A">
        <w:tc>
          <w:tcPr>
            <w:tcW w:w="4359" w:type="dxa"/>
          </w:tcPr>
          <w:p w:rsidR="00544574" w:rsidRPr="009B05E2" w:rsidRDefault="00544574" w:rsidP="005445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Тверской области (</w:t>
            </w:r>
            <w:proofErr w:type="gramStart"/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 w:rsidRPr="009B0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E295D" w:rsidRDefault="00AE295D" w:rsidP="00544574">
      <w:pPr>
        <w:spacing w:after="0"/>
      </w:pPr>
    </w:p>
    <w:sectPr w:rsidR="00AE295D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4"/>
    <w:rsid w:val="00544574"/>
    <w:rsid w:val="0099464B"/>
    <w:rsid w:val="009B1F7B"/>
    <w:rsid w:val="00AE295D"/>
    <w:rsid w:val="00D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>Kraftway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4</cp:revision>
  <dcterms:created xsi:type="dcterms:W3CDTF">2016-10-10T08:31:00Z</dcterms:created>
  <dcterms:modified xsi:type="dcterms:W3CDTF">2016-10-11T06:01:00Z</dcterms:modified>
</cp:coreProperties>
</file>